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40"/>
      </w:pPr>
      <w:r>
        <w:rPr>
          <w:rFonts w:ascii="Calibri" w:hAnsi="Calibri"/>
          <w:b/>
          <w:color w:val="286785"/>
          <w:sz w:val="18"/>
        </w:rPr>
        <w:t>MODÈLE NOTEFIELD POUR LES VISITES CLIENT</w:t>
      </w:r>
    </w:p>
    <w:p>
      <w:pPr>
        <w:keepNext/>
        <w:spacing w:before="0" w:after="80"/>
      </w:pPr>
      <w:r>
        <w:rPr>
          <w:rFonts w:ascii="Calibri" w:hAnsi="Calibri"/>
          <w:b/>
          <w:color w:val="172E39"/>
          <w:sz w:val="50"/>
        </w:rPr>
        <w:t>Compte rendu de visite commerciale</w:t>
      </w:r>
    </w:p>
    <w:p>
      <w:pPr>
        <w:spacing w:before="0" w:after="240"/>
      </w:pPr>
      <w:r>
        <w:rPr>
          <w:rFonts w:ascii="Calibri" w:hAnsi="Calibri"/>
          <w:color w:val="555555"/>
          <w:sz w:val="22"/>
        </w:rPr>
        <w:t>Un modèle modifiable pour clarifier les prochaines étapes, le CRM, la relance et le coaching manager.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Meilleur moment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Juste après une visite client importante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Résultat attendu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Résultat, intention, action-responsable-date, risque et mises à jour CRM</w:t>
            </w:r>
          </w:p>
        </w:tc>
      </w:tr>
    </w:tbl>
    <w:p>
      <w:pPr>
        <w:pStyle w:val="Heading2"/>
      </w:pPr>
      <w:r>
        <w:t>Informations sur la visite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Compte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Nom du client ou du compte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Contacts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Noms, rôles et influence dans la décision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Visite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Date, lieu et type de rendez-vous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Objectif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Quel résultat était attendu de la visite ?</w:t>
            </w:r>
          </w:p>
          <w:p>
            <w:pPr>
              <w:spacing w:after="40"/>
            </w:pPr>
            <w:r>
              <w:t xml:space="preserve"> </w:t>
            </w:r>
          </w:p>
        </w:tc>
      </w:tr>
    </w:tbl>
    <w:p>
      <w:pPr>
        <w:pStyle w:val="Heading2"/>
      </w:pPr>
      <w:r>
        <w:t>Résultat et intention d'achat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Résultat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Qu'est-ce qui a changé, été accepté ou reste ouvert ?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Intention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Exploration, évaluation, prêt, report ou risque - avec les preuves observées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Prochaine étape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Action, responsable, date et engagement du client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Risques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Budget, parties prenantes, achats, technique, juridique, timing ou concurrent</w:t>
            </w:r>
          </w:p>
          <w:p>
            <w:pPr>
              <w:spacing w:after="40"/>
            </w:pPr>
            <w:r>
              <w:t xml:space="preserve"> </w:t>
            </w:r>
          </w:p>
        </w:tc>
      </w:tr>
    </w:tbl>
    <w:p>
      <w:pPr>
        <w:pStyle w:val="Heading2"/>
      </w:pPr>
      <w:r>
        <w:t>CRM et relance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Mises à jour CRM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Étape, date de closing, montant, probabilité, contacts, tâches et risques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Relance promise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Synthèse, proposition, tarif, réponse technique ou invitation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Signal de coaching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Sur quel point le manager doit-il aider ?</w:t>
            </w:r>
          </w:p>
          <w:p>
            <w:pPr>
              <w:spacing w:after="4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Confiance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/>
                <w:color w:val="555555"/>
                <w:sz w:val="21"/>
              </w:rPr>
              <w:t>De 1 (faible) à 5 (forte), avec une phrase qui explique la note</w:t>
            </w:r>
          </w:p>
          <w:p>
            <w:pPr>
              <w:spacing w:after="40"/>
            </w:pPr>
            <w:r>
              <w:t xml:space="preserve"> </w:t>
            </w:r>
          </w:p>
        </w:tc>
      </w:tr>
    </w:tbl>
    <w:p>
      <w:pPr>
        <w:pStyle w:val="Heading1"/>
      </w:pPr>
      <w:r>
        <w:t>Checklist de revue manager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720"/>
        <w:gridCol w:w="8640"/>
      </w:tblGrid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72E39"/>
                <w:sz w:val="21"/>
              </w:rPr>
              <w:t>Le résultat décrit ce qui a changé, pas seulement que le rendez-vous s'est bien passé.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72E39"/>
                <w:sz w:val="21"/>
              </w:rPr>
              <w:t>L'intention d'achat repose sur une action, une question ou un engagement observé.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72E39"/>
                <w:sz w:val="21"/>
              </w:rPr>
              <w:t>La prochaine étape contient une action, un responsable et une date.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72E39"/>
                <w:sz w:val="21"/>
              </w:rPr>
              <w:t>Les risques importants et les décideurs absents sont visibles.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72E39"/>
                <w:sz w:val="21"/>
              </w:rPr>
              <w:t>Chaque champ CRM à modifier est listé.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72E39"/>
                <w:sz w:val="21"/>
              </w:rPr>
              <w:t>La relance promise a un responsable et une échéance.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2"/>
              </w:rPr>
              <w:t>[ ]</w:t>
            </w:r>
          </w:p>
        </w:tc>
        <w:tc>
          <w:tcPr>
            <w:tcW w:type="dxa" w:w="86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72E39"/>
                <w:sz w:val="21"/>
              </w:rPr>
              <w:t>Le signal de coaching indique clairement où le manager doit intervenir.</w:t>
            </w:r>
          </w:p>
        </w:tc>
      </w:tr>
    </w:tbl>
    <w:p>
      <w:r>
        <w:br w:type="page"/>
      </w:r>
    </w:p>
    <w:p>
      <w:pPr>
        <w:pStyle w:val="Heading1"/>
      </w:pPr>
      <w:r>
        <w:t>Exemple rempli</w:t>
      </w:r>
    </w:p>
    <w:p>
      <w:r>
        <w:t>Exemple fictif. Les personnes, l’entreprise et les engagements servent uniquement à illustrer la trame.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2700"/>
        <w:gridCol w:w="6660"/>
      </w:tblGrid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Compte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Northline Distribution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Contacts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Sarah Martin, directrice des opérations ; Karim Benali, directeur de site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Objectif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Confirmer le périmètre et les blocages d'un pilote sur trois sites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Résultat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Les opérations veulent avancer ; la validation finance manque encore.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Intention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Évaluation. Le sponsor opérationnel demande deux options tarifaires vendredi.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Prochaine étape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Le commercial envoie la proposition vendredi ; Sarah organise la revue finance mardi.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Risques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Responsable budget absent ; concurrent cité ; date de closing potentiellement décalée.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Mises à jour CRM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Étape en Proposition ; date de closing ; risque budget ; tâche vendredi.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Relance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Synthèse aujourd'hui, proposition vendredi, invitation finance mardi.</w:t>
            </w:r>
          </w:p>
        </w:tc>
      </w:tr>
      <w:tr>
        <w:trPr>
          <w:cantSplit/>
        </w:trPr>
        <w:tc>
          <w:tcPr>
            <w:tcW w:type="dxa" w:w="270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86785"/>
                <w:sz w:val="21"/>
              </w:rPr>
              <w:t>Coaching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i w:val="0"/>
                <w:color w:val="172E39"/>
                <w:sz w:val="21"/>
              </w:rPr>
              <w:t>Aider à formuler le ROI finance et le positionnement concurrentiel.</w:t>
            </w:r>
          </w:p>
        </w:tc>
      </w:tr>
    </w:tbl>
    <w:p>
      <w:pPr>
        <w:pStyle w:val="Heading1"/>
      </w:pPr>
      <w:r>
        <w:t>Workflow en trois étapes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D8DEE8"/>
          <w:left w:val="single" w:sz="6" w:space="0" w:color="D8DEE8"/>
          <w:bottom w:val="single" w:sz="6" w:space="0" w:color="D8DEE8"/>
          <w:right w:val="single" w:sz="6" w:space="0" w:color="D8DEE8"/>
          <w:insideH w:val="single" w:sz="6" w:space="0" w:color="D8DEE8"/>
          <w:insideV w:val="single" w:sz="6" w:space="0" w:color="D8DEE8"/>
        </w:tblBorders>
        <w:tblInd w:w="120" w:type="dxa"/>
      </w:tblPr>
      <w:tblGrid>
        <w:gridCol w:w="720"/>
        <w:gridCol w:w="1800"/>
        <w:gridCol w:w="6840"/>
      </w:tblGrid>
      <w:tr>
        <w:trPr>
          <w:cantSplit/>
        </w:trPr>
        <w:tc>
          <w:tcPr>
            <w:tcW w:type="dxa" w:w="72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86785"/>
                <w:sz w:val="20"/>
              </w:rPr>
              <w:t>Étape</w:t>
            </w:r>
          </w:p>
        </w:tc>
        <w:tc>
          <w:tcPr>
            <w:tcW w:type="dxa" w:w="18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286785"/>
                <w:sz w:val="20"/>
              </w:rPr>
              <w:t>Action</w:t>
            </w:r>
          </w:p>
        </w:tc>
        <w:tc>
          <w:tcPr>
            <w:tcW w:type="dxa" w:w="68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286785"/>
                <w:sz w:val="20"/>
              </w:rPr>
              <w:t>Résultat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172E39"/>
                <w:sz w:val="20"/>
              </w:rPr>
              <w:t>1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172E39"/>
                <w:sz w:val="20"/>
              </w:rPr>
              <w:t>Capter</w:t>
            </w:r>
          </w:p>
        </w:tc>
        <w:tc>
          <w:tcPr>
            <w:tcW w:type="dxa" w:w="6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 w:val="0"/>
                <w:color w:val="172E39"/>
                <w:sz w:val="20"/>
              </w:rPr>
              <w:t>Noter les faits pendant que les mots du client sont encore frais.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172E39"/>
                <w:sz w:val="20"/>
              </w:rPr>
              <w:t>2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172E39"/>
                <w:sz w:val="20"/>
              </w:rPr>
              <w:t>Structurer</w:t>
            </w:r>
          </w:p>
        </w:tc>
        <w:tc>
          <w:tcPr>
            <w:tcW w:type="dxa" w:w="6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 w:val="0"/>
                <w:color w:val="172E39"/>
                <w:sz w:val="20"/>
              </w:rPr>
              <w:t>Transformer le débrief en compte rendu et en champs CRM.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color w:val="172E39"/>
                <w:sz w:val="20"/>
              </w:rPr>
              <w:t>3</w:t>
            </w:r>
          </w:p>
        </w:tc>
        <w:tc>
          <w:tcPr>
            <w:tcW w:type="dxa" w:w="18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172E39"/>
                <w:sz w:val="20"/>
              </w:rPr>
              <w:t>Agir</w:t>
            </w:r>
          </w:p>
        </w:tc>
        <w:tc>
          <w:tcPr>
            <w:tcW w:type="dxa" w:w="68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/>
                <w:b w:val="0"/>
                <w:color w:val="172E39"/>
                <w:sz w:val="20"/>
              </w:rPr>
              <w:t>Envoyer la relance promise et faire remonter les risques au manager.</w:t>
            </w:r>
          </w:p>
        </w:tc>
      </w:tr>
    </w:tbl>
    <w:p>
      <w:pPr>
        <w:spacing w:before="0" w:after="40"/>
      </w:pPr>
      <w:r>
        <w:t xml:space="preserve"> </w:t>
      </w:r>
    </w:p>
    <w:p>
      <w:pPr>
        <w:spacing w:before="80" w:after="0"/>
      </w:pPr>
      <w:r>
        <w:rPr>
          <w:rFonts w:ascii="Calibri" w:hAnsi="Calibri"/>
          <w:b/>
          <w:color w:val="286785"/>
          <w:sz w:val="20"/>
        </w:rPr>
        <w:t>notefield | notefield.work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80"/>
      <w:jc w:val="right"/>
    </w:pPr>
    <w:r>
      <w:rPr>
        <w:rFonts w:ascii="Calibri" w:hAnsi="Calibri"/>
        <w:color w:val="555555"/>
        <w:sz w:val="18"/>
      </w:rPr>
      <w:t xml:space="preserve">notefield — produit de Y SAS | notefield.work | </w:t>
    </w:r>
    <w:r>
      <w:rPr>
        <w:rFonts w:ascii="Calibri" w:hAnsi="Calibri"/>
        <w:color w:val="555555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80"/>
      <w:jc w:val="left"/>
      <w:pBdr>
        <w:bottom w:val="single" w:sz="6" w:space="4" w:color="D8DEE8"/>
      </w:pBdr>
    </w:pPr>
    <w:r>
      <w:rPr>
        <w:rFonts w:ascii="Calibri" w:hAnsi="Calibri"/>
        <w:b/>
        <w:color w:val="555555"/>
        <w:sz w:val="17"/>
      </w:rPr>
      <w:t>NOTEFIELD | TRAVAIL TERRAIN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72E3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8678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8678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8678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visite commerciale</dc:title>
  <dc:subject>Editable field sales visit report template</dc:subject>
  <dc:creator>Rafik Belkadi — notefield</dc:creator>
  <cp:keywords>field sales, visit report, CRM, customer visit, sales operations</cp:keywords>
  <dc:description>Template by notefield, a product of Y SAS. Reviewed 6 September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